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="-10" w:tblpY="-205"/>
        <w:tblW w:w="14596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CellMar>
          <w:left w:w="28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3119"/>
        <w:gridCol w:w="3260"/>
        <w:gridCol w:w="1559"/>
        <w:gridCol w:w="851"/>
      </w:tblGrid>
      <w:tr w:rsidR="003F0D71" w:rsidRPr="001B6ADB" w14:paraId="4AAE89EC" w14:textId="77777777" w:rsidTr="009C1251">
        <w:trPr>
          <w:trHeight w:val="20"/>
        </w:trPr>
        <w:tc>
          <w:tcPr>
            <w:tcW w:w="14596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horzAnchor="margin" w:tblpY="-205"/>
              <w:tblW w:w="15021" w:type="dxa"/>
              <w:tblBorders>
                <w:top w:val="single" w:sz="4" w:space="0" w:color="4472C4"/>
                <w:left w:val="single" w:sz="4" w:space="0" w:color="4472C4"/>
                <w:bottom w:val="single" w:sz="4" w:space="0" w:color="4472C4"/>
                <w:right w:val="single" w:sz="4" w:space="0" w:color="4472C4"/>
                <w:insideH w:val="single" w:sz="4" w:space="0" w:color="4472C4"/>
                <w:insideV w:val="single" w:sz="4" w:space="0" w:color="4472C4"/>
              </w:tblBorders>
              <w:tblLayout w:type="fixed"/>
              <w:tblCellMar>
                <w:left w:w="28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21"/>
            </w:tblGrid>
            <w:tr w:rsidR="003F0D71" w:rsidRPr="001B6ADB" w14:paraId="11A2867E" w14:textId="77777777" w:rsidTr="003F0D71">
              <w:trPr>
                <w:trHeight w:val="113"/>
              </w:trPr>
              <w:tc>
                <w:tcPr>
                  <w:tcW w:w="15021" w:type="dxa"/>
                  <w:shd w:val="clear" w:color="auto" w:fill="2F549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0D2C4" w14:textId="77777777" w:rsidR="003F0D71" w:rsidRPr="001B6ADB" w:rsidRDefault="003F0D71" w:rsidP="003F0D71">
                  <w:pPr>
                    <w:spacing w:after="0" w:line="245" w:lineRule="auto"/>
                    <w:ind w:left="164"/>
                    <w:rPr>
                      <w:rFonts w:ascii="Barlow" w:eastAsia="Calibri" w:hAnsi="Barlow" w:cs="Times New Roman"/>
                      <w:sz w:val="28"/>
                      <w:szCs w:val="28"/>
                    </w:rPr>
                  </w:pPr>
                  <w:r w:rsidRPr="001B6ADB">
                    <w:rPr>
                      <w:rFonts w:ascii="Barlow" w:eastAsia="Verdana" w:hAnsi="Barlow" w:cs="Verdana"/>
                      <w:b/>
                      <w:bCs/>
                      <w:color w:val="FFFFFF"/>
                      <w:sz w:val="28"/>
                      <w:szCs w:val="28"/>
                    </w:rPr>
                    <w:t>ISTRUZIONE PUBBLICA</w:t>
                  </w:r>
                </w:p>
              </w:tc>
            </w:tr>
          </w:tbl>
          <w:p w14:paraId="230E48B9" w14:textId="77777777" w:rsidR="003F0D71" w:rsidRPr="001B6ADB" w:rsidRDefault="003F0D71" w:rsidP="003F0D71">
            <w:pPr>
              <w:spacing w:before="120" w:after="120" w:line="245" w:lineRule="auto"/>
              <w:ind w:left="164" w:right="284"/>
              <w:rPr>
                <w:rFonts w:ascii="Barlow" w:eastAsia="Calibri" w:hAnsi="Barlow" w:cs="Times New Roman"/>
                <w:b/>
                <w:bCs/>
              </w:rPr>
            </w:pPr>
            <w:r w:rsidRPr="001B6ADB">
              <w:rPr>
                <w:rFonts w:ascii="Barlow" w:eastAsia="Calibri" w:hAnsi="Barlow" w:cs="Times New Roman"/>
                <w:b/>
                <w:bCs/>
              </w:rPr>
              <w:t>Descrizione della funzione Istruzione pubblica</w:t>
            </w:r>
          </w:p>
          <w:p w14:paraId="7608967A" w14:textId="15CB5DA2" w:rsidR="003F0D71" w:rsidRPr="001B6ADB" w:rsidRDefault="003F0D71" w:rsidP="003F0D71">
            <w:pPr>
              <w:spacing w:before="120" w:after="120"/>
              <w:ind w:left="164" w:right="284"/>
              <w:jc w:val="both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  <w:b/>
              </w:rPr>
              <w:t xml:space="preserve">La gestione associata dei servizi educativi e scolastici in Unione mira a realizzare una forte integrazione </w:t>
            </w:r>
            <w:r w:rsidR="004D2D5B" w:rsidRPr="001B6ADB">
              <w:rPr>
                <w:rFonts w:ascii="Barlow" w:eastAsia="Calibri" w:hAnsi="Barlow" w:cs="Times New Roman"/>
                <w:b/>
              </w:rPr>
              <w:t xml:space="preserve">tra le </w:t>
            </w:r>
            <w:r w:rsidRPr="001B6ADB">
              <w:rPr>
                <w:rFonts w:ascii="Barlow" w:eastAsia="Calibri" w:hAnsi="Barlow" w:cs="Times New Roman"/>
                <w:b/>
              </w:rPr>
              <w:t>politiche educative e quelle scolastiche, a promuovere e rafforzare nel proprio territorio l’omogeneità dei servizi espletati, l’equità delle politiche tariffarie e la creazione di un punto unico di iscrizione</w:t>
            </w:r>
            <w:r w:rsidRPr="001B6ADB">
              <w:rPr>
                <w:rFonts w:ascii="Barlow" w:eastAsia="Calibri" w:hAnsi="Barlow" w:cs="Times New Roman"/>
              </w:rPr>
              <w:t>.</w:t>
            </w:r>
            <w:r w:rsidRPr="001B6ADB">
              <w:rPr>
                <w:rFonts w:ascii="Barlow" w:eastAsia="Calibri" w:hAnsi="Barlow" w:cs="Times New Roman"/>
                <w:b/>
                <w:bCs/>
              </w:rPr>
              <w:t xml:space="preserve"> </w:t>
            </w:r>
          </w:p>
          <w:p w14:paraId="420012AD" w14:textId="257351D3" w:rsidR="00C07B92" w:rsidRDefault="003F0D71" w:rsidP="00E0799A">
            <w:pPr>
              <w:spacing w:after="0" w:line="240" w:lineRule="exact"/>
              <w:ind w:left="447" w:right="284"/>
              <w:jc w:val="both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Il conferimento all’Unione da parte dei Comuni aderenti della funzione deve riguardare le seguenti azioni:</w:t>
            </w:r>
          </w:p>
          <w:p w14:paraId="0CD68B4E" w14:textId="77777777" w:rsidR="00E0799A" w:rsidRPr="001B6ADB" w:rsidRDefault="00E0799A" w:rsidP="00E0799A">
            <w:pPr>
              <w:spacing w:after="0" w:line="240" w:lineRule="exact"/>
              <w:ind w:left="447" w:right="284"/>
              <w:jc w:val="both"/>
              <w:rPr>
                <w:rFonts w:ascii="Barlow" w:eastAsia="Calibri" w:hAnsi="Barlow" w:cs="Times New Roman"/>
              </w:rPr>
            </w:pPr>
          </w:p>
          <w:p w14:paraId="08816ACE" w14:textId="77777777" w:rsidR="003F0D71" w:rsidRPr="001B6ADB" w:rsidRDefault="003F0D71" w:rsidP="003F0D71">
            <w:pPr>
              <w:widowControl w:val="0"/>
              <w:numPr>
                <w:ilvl w:val="0"/>
                <w:numId w:val="1"/>
              </w:numPr>
              <w:tabs>
                <w:tab w:val="left" w:pos="-60"/>
                <w:tab w:val="left" w:pos="1860"/>
              </w:tabs>
              <w:suppressAutoHyphens/>
              <w:autoSpaceDN w:val="0"/>
              <w:spacing w:after="120" w:line="240" w:lineRule="exact"/>
              <w:ind w:left="447" w:right="286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nidi d’infanzia e servizi integrativi</w:t>
            </w:r>
          </w:p>
          <w:p w14:paraId="67EB1FA0" w14:textId="77777777" w:rsidR="003F0D71" w:rsidRPr="001B6ADB" w:rsidRDefault="003F0D71" w:rsidP="003F0D71">
            <w:pPr>
              <w:widowControl w:val="0"/>
              <w:numPr>
                <w:ilvl w:val="0"/>
                <w:numId w:val="1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 w:right="286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scuole dell’infanzia</w:t>
            </w:r>
          </w:p>
          <w:p w14:paraId="42291F35" w14:textId="77777777" w:rsidR="003F0D71" w:rsidRPr="001B6ADB" w:rsidRDefault="003F0D71" w:rsidP="003F0D71">
            <w:pPr>
              <w:widowControl w:val="0"/>
              <w:numPr>
                <w:ilvl w:val="0"/>
                <w:numId w:val="1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 w:right="286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trasporti scolastici</w:t>
            </w:r>
          </w:p>
          <w:p w14:paraId="3E9F052D" w14:textId="77777777" w:rsidR="003F0D71" w:rsidRPr="001B6ADB" w:rsidRDefault="003F0D71" w:rsidP="003F0D71">
            <w:pPr>
              <w:widowControl w:val="0"/>
              <w:numPr>
                <w:ilvl w:val="0"/>
                <w:numId w:val="1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refezione scolastica</w:t>
            </w:r>
          </w:p>
          <w:p w14:paraId="75966FC7" w14:textId="77777777" w:rsidR="003F0D71" w:rsidRPr="001B6ADB" w:rsidRDefault="003F0D71" w:rsidP="003F0D71">
            <w:pPr>
              <w:widowControl w:val="0"/>
              <w:numPr>
                <w:ilvl w:val="0"/>
                <w:numId w:val="1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 w:right="286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coordinamento politiche in materia educativa e scolastica (accesso, rette e tariffe e relativa fatturazione, controllo sulla veridicità delle autodichiarazioni ed autocertificazioni, gestione dei procedimenti di autorizzazione e concessione e dei benefici in carico al Settore; gestione degli appalti e delle esternalizzazioni per i servizi educativi, controllo dell’esecuzione dei contratti etc..)</w:t>
            </w:r>
          </w:p>
          <w:p w14:paraId="40B47970" w14:textId="5B19C627" w:rsidR="0090647B" w:rsidRPr="0090647B" w:rsidRDefault="003F0D71" w:rsidP="0090647B">
            <w:pPr>
              <w:widowControl w:val="0"/>
              <w:numPr>
                <w:ilvl w:val="0"/>
                <w:numId w:val="1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coordinamento pedagogico, formazione ed aggiornamento del personale educativo</w:t>
            </w:r>
          </w:p>
          <w:p w14:paraId="0439014C" w14:textId="014CADEA" w:rsidR="00C07B92" w:rsidRPr="00E0799A" w:rsidRDefault="003F0D71" w:rsidP="00E0799A">
            <w:pPr>
              <w:widowControl w:val="0"/>
              <w:tabs>
                <w:tab w:val="left" w:pos="-8360"/>
                <w:tab w:val="left" w:pos="-6440"/>
              </w:tabs>
              <w:spacing w:after="120" w:line="240" w:lineRule="exact"/>
              <w:ind w:left="447"/>
              <w:contextualSpacing/>
              <w:jc w:val="both"/>
              <w:rPr>
                <w:rFonts w:ascii="Barlow" w:eastAsia="Calibri" w:hAnsi="Barlow" w:cs="Times New Roman"/>
                <w:b/>
                <w:bCs/>
              </w:rPr>
            </w:pPr>
            <w:r w:rsidRPr="00E0799A">
              <w:rPr>
                <w:rFonts w:ascii="Barlow" w:eastAsia="Calibri" w:hAnsi="Barlow" w:cs="Times New Roman"/>
                <w:b/>
                <w:bCs/>
              </w:rPr>
              <w:t xml:space="preserve">Ulteriori attività integrative: </w:t>
            </w:r>
          </w:p>
          <w:p w14:paraId="391C1B20" w14:textId="6337700F" w:rsidR="003F0D71" w:rsidRPr="002D4562" w:rsidRDefault="003F0D71" w:rsidP="000A1EC7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-7980"/>
                <w:tab w:val="left" w:pos="-6060"/>
              </w:tabs>
              <w:suppressAutoHyphens/>
              <w:autoSpaceDN w:val="0"/>
              <w:spacing w:after="120" w:line="240" w:lineRule="exact"/>
              <w:ind w:left="452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2D4562">
              <w:rPr>
                <w:rFonts w:ascii="Barlow" w:eastAsia="Calibri" w:hAnsi="Barlow" w:cs="Times New Roman"/>
              </w:rPr>
              <w:t>programmazione rete ed edilizia scolastica</w:t>
            </w:r>
          </w:p>
          <w:p w14:paraId="06495B24" w14:textId="2E7CAAF6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diritto allo studio</w:t>
            </w:r>
            <w:r w:rsidR="00B427A7" w:rsidRPr="001B6ADB">
              <w:rPr>
                <w:rFonts w:ascii="Barlow" w:eastAsia="Calibri" w:hAnsi="Barlow" w:cs="Times New Roman"/>
              </w:rPr>
              <w:t xml:space="preserve"> e </w:t>
            </w:r>
            <w:r w:rsidR="00525A02" w:rsidRPr="001B6ADB">
              <w:rPr>
                <w:rFonts w:ascii="Barlow" w:eastAsia="Calibri" w:hAnsi="Barlow" w:cs="Times New Roman"/>
              </w:rPr>
              <w:t>supporto</w:t>
            </w:r>
            <w:r w:rsidR="001E7341" w:rsidRPr="001B6ADB">
              <w:rPr>
                <w:rFonts w:ascii="Barlow" w:eastAsia="Calibri" w:hAnsi="Barlow" w:cs="Times New Roman"/>
              </w:rPr>
              <w:t xml:space="preserve"> all’attivazione</w:t>
            </w:r>
            <w:r w:rsidR="00525A02" w:rsidRPr="001B6ADB">
              <w:rPr>
                <w:rFonts w:ascii="Barlow" w:eastAsia="Calibri" w:hAnsi="Barlow" w:cs="Times New Roman"/>
              </w:rPr>
              <w:t xml:space="preserve"> </w:t>
            </w:r>
            <w:r w:rsidR="001E7341" w:rsidRPr="001B6ADB">
              <w:rPr>
                <w:rFonts w:ascii="Barlow" w:eastAsia="Calibri" w:hAnsi="Barlow" w:cs="Times New Roman"/>
              </w:rPr>
              <w:t>dell’</w:t>
            </w:r>
            <w:r w:rsidR="00B427A7" w:rsidRPr="001B6ADB">
              <w:rPr>
                <w:rFonts w:ascii="Barlow" w:eastAsia="Calibri" w:hAnsi="Barlow" w:cs="Times New Roman"/>
              </w:rPr>
              <w:t>orientamento scolastico</w:t>
            </w:r>
          </w:p>
          <w:p w14:paraId="473A369D" w14:textId="1AC7DEDC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servizi aggiuntivi quali pre e post scuola </w:t>
            </w:r>
            <w:r w:rsidR="009916E0" w:rsidRPr="001B6ADB">
              <w:rPr>
                <w:rFonts w:ascii="Barlow" w:eastAsia="Calibri" w:hAnsi="Barlow" w:cs="Times New Roman"/>
              </w:rPr>
              <w:t>(scuole aperte, servizi doposcuola, orario continuato etc)</w:t>
            </w:r>
          </w:p>
          <w:p w14:paraId="1F4E0A44" w14:textId="77777777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centri estivi </w:t>
            </w:r>
          </w:p>
          <w:p w14:paraId="0FEC9564" w14:textId="77777777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vigilanza assolvimento obbligo scolastico per la popolazione dell’unione</w:t>
            </w:r>
          </w:p>
          <w:p w14:paraId="022BEA22" w14:textId="77777777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educazione adulti</w:t>
            </w:r>
          </w:p>
          <w:p w14:paraId="69C1D4CB" w14:textId="77777777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promozione della partecipazione delle famiglie all’attività dei servizi</w:t>
            </w:r>
          </w:p>
          <w:p w14:paraId="4C0D63A9" w14:textId="75017272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altri servizi ausiliari all’istruzione</w:t>
            </w:r>
            <w:r w:rsidR="00C80646" w:rsidRPr="001B6ADB">
              <w:rPr>
                <w:rFonts w:ascii="Barlow" w:eastAsia="Calibri" w:hAnsi="Barlow" w:cs="Times New Roman"/>
              </w:rPr>
              <w:t>:</w:t>
            </w:r>
          </w:p>
          <w:p w14:paraId="46E2C985" w14:textId="65244CBA" w:rsidR="00C80646" w:rsidRPr="001B6ADB" w:rsidRDefault="00A752EB" w:rsidP="00C806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inclusione e supporto ad alunni certificati, con DSA e BES</w:t>
            </w:r>
            <w:r w:rsidR="009F6573" w:rsidRPr="001B6ADB">
              <w:rPr>
                <w:rFonts w:ascii="Barlow" w:eastAsia="Calibri" w:hAnsi="Barlow" w:cs="Times New Roman"/>
              </w:rPr>
              <w:t>;</w:t>
            </w:r>
          </w:p>
          <w:p w14:paraId="75A52C9A" w14:textId="4F59C8EF" w:rsidR="009F6573" w:rsidRPr="001B6ADB" w:rsidRDefault="009F6573" w:rsidP="00C806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gestione disagio sociale;</w:t>
            </w:r>
          </w:p>
          <w:p w14:paraId="034E94E6" w14:textId="1F696BCA" w:rsidR="009916E0" w:rsidRPr="001B6ADB" w:rsidRDefault="00C474AD" w:rsidP="00C806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lastRenderedPageBreak/>
              <w:t>educazione alla salute;</w:t>
            </w:r>
          </w:p>
          <w:p w14:paraId="38B53B2A" w14:textId="77777777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monitoraggio della qualità dei servizi, anche in base ad eventuali Carte dei Servizi approvate</w:t>
            </w:r>
          </w:p>
          <w:p w14:paraId="1BAB7BE6" w14:textId="77777777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approvazione di piani di sviluppo/strategici nella definizione di politiche di breve/medio periodo anche in materia di servizi educativi/scolastici</w:t>
            </w:r>
          </w:p>
          <w:p w14:paraId="1CBCDE87" w14:textId="77777777" w:rsidR="003F0D71" w:rsidRPr="001B6ADB" w:rsidRDefault="003F0D71" w:rsidP="002D4562">
            <w:pPr>
              <w:widowControl w:val="0"/>
              <w:numPr>
                <w:ilvl w:val="0"/>
                <w:numId w:val="3"/>
              </w:numPr>
              <w:tabs>
                <w:tab w:val="left" w:pos="-11580"/>
                <w:tab w:val="left" w:pos="-9660"/>
              </w:tabs>
              <w:suppressAutoHyphens/>
              <w:autoSpaceDN w:val="0"/>
              <w:spacing w:after="120" w:line="240" w:lineRule="exact"/>
              <w:ind w:left="447"/>
              <w:jc w:val="both"/>
              <w:textAlignment w:val="baseline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indagini scientifiche periodiche di customer satisfaction relative all’accesso dei servizi educativi e scolastici</w:t>
            </w:r>
          </w:p>
          <w:p w14:paraId="14B1AED2" w14:textId="77777777" w:rsidR="003F0D71" w:rsidRPr="001B6ADB" w:rsidRDefault="003F0D71" w:rsidP="003F0D71">
            <w:pPr>
              <w:spacing w:after="120" w:line="240" w:lineRule="exact"/>
              <w:ind w:left="447"/>
              <w:jc w:val="both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Entro il triennio devono essere attivate tutte le 6 attività del livello base.</w:t>
            </w:r>
          </w:p>
          <w:p w14:paraId="7F8C7697" w14:textId="224555DD" w:rsidR="003F0D71" w:rsidRPr="001B6ADB" w:rsidRDefault="003F0D71" w:rsidP="00E0799A">
            <w:pPr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v. schema tipo convenzione link: </w:t>
            </w:r>
            <w:hyperlink r:id="rId10" w:tgtFrame="_blank" w:tooltip="https://regioneer.it/convenzioniprt" w:history="1">
              <w:r w:rsidR="00FC3B1C" w:rsidRPr="00FC3B1C">
                <w:rPr>
                  <w:rStyle w:val="Collegamentoipertestuale"/>
                </w:rPr>
                <w:t>https://regioneer.it/convenzioniprt</w:t>
              </w:r>
            </w:hyperlink>
            <w:r w:rsidR="000B6BD0">
              <w:t xml:space="preserve"> </w:t>
            </w:r>
          </w:p>
        </w:tc>
      </w:tr>
      <w:tr w:rsidR="000C4390" w:rsidRPr="001B6ADB" w14:paraId="6BA5771B" w14:textId="77777777" w:rsidTr="009C1251">
        <w:trPr>
          <w:trHeight w:val="113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015F" w14:textId="77777777" w:rsidR="000C4390" w:rsidRPr="001B6ADB" w:rsidRDefault="000C4390" w:rsidP="003F0D71">
            <w:pPr>
              <w:spacing w:after="0" w:line="245" w:lineRule="auto"/>
              <w:ind w:left="164"/>
              <w:rPr>
                <w:rFonts w:ascii="Barlow" w:eastAsia="Calibri" w:hAnsi="Barlow" w:cs="Times New Roman"/>
                <w:b/>
                <w:bCs/>
                <w:color w:val="2F5496"/>
              </w:rPr>
            </w:pPr>
            <w:r w:rsidRPr="001B6ADB">
              <w:rPr>
                <w:rFonts w:ascii="Barlow" w:eastAsia="Calibri" w:hAnsi="Barlow" w:cs="Times New Roman"/>
                <w:b/>
                <w:bCs/>
                <w:color w:val="2F5496"/>
              </w:rPr>
              <w:lastRenderedPageBreak/>
              <w:t>Azioni obbligatorie per accedere all’incentivo (livello base)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5CCC" w14:textId="77777777" w:rsidR="000C4390" w:rsidRPr="001B6ADB" w:rsidRDefault="000C4390" w:rsidP="003F0D71">
            <w:pPr>
              <w:spacing w:after="0" w:line="245" w:lineRule="auto"/>
              <w:ind w:left="164"/>
              <w:jc w:val="center"/>
              <w:rPr>
                <w:rFonts w:ascii="Barlow" w:eastAsia="Calibri" w:hAnsi="Barlow" w:cs="Times New Roman"/>
                <w:b/>
                <w:bCs/>
                <w:color w:val="2F5496"/>
              </w:rPr>
            </w:pPr>
            <w:r w:rsidRPr="001B6ADB">
              <w:rPr>
                <w:rFonts w:ascii="Barlow" w:eastAsia="Calibri" w:hAnsi="Barlow" w:cs="Times New Roman"/>
                <w:b/>
                <w:bCs/>
                <w:color w:val="2F5496"/>
              </w:rPr>
              <w:t>Strumento di verifica di effettività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DC4B" w14:textId="69523A81" w:rsidR="000C4390" w:rsidRPr="001B6ADB" w:rsidRDefault="000C4390" w:rsidP="003F0D71">
            <w:pPr>
              <w:ind w:left="164"/>
              <w:rPr>
                <w:rFonts w:ascii="Barlow" w:eastAsia="Calibri" w:hAnsi="Barlow" w:cs="Times New Roman"/>
                <w:b/>
                <w:bCs/>
                <w:color w:val="2F5496"/>
              </w:rPr>
            </w:pPr>
            <w:r w:rsidRPr="001B6ADB">
              <w:rPr>
                <w:rFonts w:ascii="Barlow" w:eastAsia="Calibri" w:hAnsi="Barlow" w:cs="Times New Roman"/>
                <w:b/>
                <w:bCs/>
                <w:color w:val="2F5496"/>
              </w:rPr>
              <w:t>Indicazione estremi e link dell’atto</w:t>
            </w:r>
          </w:p>
        </w:tc>
        <w:tc>
          <w:tcPr>
            <w:tcW w:w="241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7F53" w14:textId="7A82FBD1" w:rsidR="000C4390" w:rsidRPr="001B6ADB" w:rsidRDefault="000C4390" w:rsidP="003F0D71">
            <w:pPr>
              <w:ind w:left="164"/>
              <w:rPr>
                <w:rFonts w:ascii="Barlow" w:eastAsia="Calibri" w:hAnsi="Barlow" w:cs="Times New Roman"/>
                <w:color w:val="2F5496"/>
              </w:rPr>
            </w:pPr>
            <w:r w:rsidRPr="001B6ADB">
              <w:rPr>
                <w:rFonts w:ascii="Barlow" w:eastAsia="Calibri" w:hAnsi="Barlow" w:cs="Times New Roman"/>
                <w:color w:val="2F5496"/>
              </w:rPr>
              <w:t xml:space="preserve">Contributo in % </w:t>
            </w:r>
            <w:r w:rsidR="008B1396">
              <w:rPr>
                <w:rFonts w:ascii="Barlow" w:eastAsia="Calibri" w:hAnsi="Barlow" w:cs="Times New Roman"/>
                <w:color w:val="2F5496"/>
              </w:rPr>
              <w:t>p</w:t>
            </w:r>
            <w:r w:rsidRPr="001B6ADB">
              <w:rPr>
                <w:rFonts w:ascii="Barlow" w:eastAsia="Calibri" w:hAnsi="Barlow" w:cs="Times New Roman"/>
                <w:color w:val="2F5496"/>
              </w:rPr>
              <w:t>unteggio</w:t>
            </w:r>
          </w:p>
        </w:tc>
      </w:tr>
      <w:tr w:rsidR="003F0D71" w:rsidRPr="001B6ADB" w14:paraId="0E11396D" w14:textId="77777777" w:rsidTr="009C1251">
        <w:trPr>
          <w:trHeight w:val="680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2C7C" w14:textId="77777777" w:rsidR="003F0D71" w:rsidRPr="001B6ADB" w:rsidRDefault="003F0D71" w:rsidP="003F0D71">
            <w:pPr>
              <w:widowControl w:val="0"/>
              <w:tabs>
                <w:tab w:val="left" w:pos="-1276"/>
              </w:tabs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Conferimento della funzione complessiva e attivazione di almeno 4 attività delle 6 sopra richiamate 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7D9E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Convenzione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F7CF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78C5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50%</w:t>
            </w:r>
          </w:p>
        </w:tc>
        <w:tc>
          <w:tcPr>
            <w:tcW w:w="851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eastAsia="Calibri" w:hAnsi="Barlow" w:cs="Times New Roman"/>
                <w:color w:val="2F5496"/>
              </w:rPr>
              <w:id w:val="-419024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69FCBA" w14:textId="77777777" w:rsidR="003F0D71" w:rsidRPr="001B6ADB" w:rsidRDefault="003F0D71" w:rsidP="003F0D71">
                <w:pPr>
                  <w:ind w:left="164"/>
                  <w:jc w:val="center"/>
                  <w:rPr>
                    <w:rFonts w:ascii="Barlow" w:eastAsia="Calibri" w:hAnsi="Barlow" w:cs="Times New Roman"/>
                    <w:color w:val="2F5496"/>
                  </w:rPr>
                </w:pPr>
                <w:r w:rsidRPr="001B6ADB">
                  <w:rPr>
                    <w:rFonts w:ascii="Segoe UI Symbol" w:eastAsia="Calibri" w:hAnsi="Segoe UI Symbol" w:cs="Segoe UI Symbol"/>
                    <w:color w:val="2F5496"/>
                  </w:rPr>
                  <w:t>☐</w:t>
                </w:r>
              </w:p>
            </w:sdtContent>
          </w:sdt>
        </w:tc>
      </w:tr>
      <w:tr w:rsidR="003F0D71" w:rsidRPr="001B6ADB" w14:paraId="627D06C9" w14:textId="77777777" w:rsidTr="009C1251">
        <w:trPr>
          <w:trHeight w:val="567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B382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Istituzione della struttura organizzativa in Unione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62D0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Organigramma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7E36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9D62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822F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  <w:color w:val="2F5496"/>
              </w:rPr>
            </w:pPr>
          </w:p>
        </w:tc>
      </w:tr>
      <w:tr w:rsidR="003F0D71" w:rsidRPr="001B6ADB" w14:paraId="1C343575" w14:textId="77777777" w:rsidTr="009C1251">
        <w:trPr>
          <w:trHeight w:val="614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3252" w14:textId="77777777" w:rsidR="003F0D71" w:rsidRPr="001B6ADB" w:rsidRDefault="003F0D71" w:rsidP="003F0D71">
            <w:pPr>
              <w:widowControl w:val="0"/>
              <w:tabs>
                <w:tab w:val="left" w:pos="-1276"/>
              </w:tabs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Responsabile unico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63CE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Atto nomina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C4F4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ACDE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8D87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  <w:color w:val="2F5496"/>
              </w:rPr>
            </w:pPr>
          </w:p>
        </w:tc>
      </w:tr>
      <w:tr w:rsidR="003F0D71" w:rsidRPr="001B6ADB" w14:paraId="3E3390F7" w14:textId="77777777" w:rsidTr="009C1251">
        <w:trPr>
          <w:trHeight w:val="20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92F0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Conferimento del personale (con decorrenza entro l’anno se nuova funzione)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B4F7" w14:textId="7A19EFCE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Atti organizzativi (personale trasferito/comandato</w:t>
            </w:r>
            <w:r w:rsidR="00C95567">
              <w:rPr>
                <w:rFonts w:ascii="Barlow" w:eastAsia="Calibri" w:hAnsi="Barlow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2EE9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8FEA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D3BC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  <w:color w:val="2F5496"/>
              </w:rPr>
            </w:pPr>
          </w:p>
        </w:tc>
      </w:tr>
      <w:tr w:rsidR="003F0D71" w:rsidRPr="001B6ADB" w14:paraId="3F282C9C" w14:textId="77777777" w:rsidTr="009C1251">
        <w:trPr>
          <w:trHeight w:val="1361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1A04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Conferimento stanziamenti entrate/spese dai bilanci dei Comuni all’Unione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E478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Entità degli stanziamenti conferiti nel Bilancio preventivo Unione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A157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66F7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DBFD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  <w:color w:val="2F5496"/>
              </w:rPr>
            </w:pPr>
          </w:p>
        </w:tc>
      </w:tr>
      <w:tr w:rsidR="003F0D71" w:rsidRPr="001B6ADB" w14:paraId="1DEE0AD0" w14:textId="77777777" w:rsidTr="009C1251">
        <w:trPr>
          <w:trHeight w:val="20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4341" w14:textId="31582964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Costituzione/mantenimento sportelli di front/office con funzioni di accesso all’utenza e raccordo con il Comune e il territorio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BB46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N. Sportelli front-office/atto organizzativo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6225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FDA1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01AD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  <w:color w:val="2F5496"/>
              </w:rPr>
            </w:pPr>
          </w:p>
        </w:tc>
      </w:tr>
      <w:tr w:rsidR="003F0D71" w:rsidRPr="001B6ADB" w14:paraId="7BB19C64" w14:textId="77777777" w:rsidTr="009C1251">
        <w:trPr>
          <w:trHeight w:val="850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938C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Approvazione regolamenti unici per l’accesso e per l’erogazione dei servizi per almeno 3 delle attività 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39DD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Atti amministrativi   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A6E7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E108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C612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  <w:color w:val="2F5496"/>
              </w:rPr>
            </w:pPr>
          </w:p>
        </w:tc>
      </w:tr>
      <w:tr w:rsidR="003F0D71" w:rsidRPr="001B6ADB" w14:paraId="69CFAC1D" w14:textId="77777777" w:rsidTr="009C1251">
        <w:trPr>
          <w:trHeight w:val="850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B245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lastRenderedPageBreak/>
              <w:t>Specificazione e definizione delle voci che compongono il bilancio (sia in entrata che in spesa) per tutte le attività conferite in Unione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EA57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Atti amministrativi relativi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ED51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EA82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4BE6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  <w:color w:val="2F5496"/>
              </w:rPr>
            </w:pPr>
          </w:p>
        </w:tc>
      </w:tr>
      <w:tr w:rsidR="003F0D71" w:rsidRPr="001B6ADB" w14:paraId="73D96A03" w14:textId="77777777" w:rsidTr="009C1251">
        <w:trPr>
          <w:trHeight w:val="1247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D496" w14:textId="38364E69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  <w:color w:val="538135"/>
              </w:rPr>
            </w:pPr>
            <w:r w:rsidRPr="001B6ADB">
              <w:rPr>
                <w:rFonts w:ascii="Barlow" w:eastAsia="Calibri" w:hAnsi="Barlow" w:cs="Times New Roman"/>
              </w:rPr>
              <w:t>Attivazione di tutte le 6 attività di cui sopra del livello base</w:t>
            </w:r>
            <w:r w:rsidR="005F6D04" w:rsidRPr="001B6ADB">
              <w:rPr>
                <w:rFonts w:ascii="Barlow" w:eastAsia="Calibri" w:hAnsi="Barlow" w:cs="Times New Roman"/>
              </w:rPr>
              <w:t xml:space="preserve"> </w:t>
            </w:r>
            <w:r w:rsidR="005F6D04" w:rsidRPr="00E31C6D">
              <w:rPr>
                <w:rFonts w:ascii="Barlow" w:eastAsia="Calibri" w:hAnsi="Barlow" w:cs="Times New Roman"/>
                <w:b/>
                <w:bCs/>
              </w:rPr>
              <w:t>entro il triennio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6897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Atto/i riorganizzativi  </w:t>
            </w:r>
          </w:p>
          <w:p w14:paraId="01DB4A7E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(trasferimento, </w:t>
            </w:r>
          </w:p>
          <w:p w14:paraId="54C56AE3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comando etc.) /</w:t>
            </w:r>
          </w:p>
          <w:p w14:paraId="34A25944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N. Sportelli front-office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452B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56B0" w14:textId="77777777" w:rsidR="003F0D71" w:rsidRPr="001B6ADB" w:rsidRDefault="003F0D71" w:rsidP="003F0D71">
            <w:pPr>
              <w:spacing w:after="0"/>
              <w:ind w:left="164"/>
              <w:jc w:val="center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20%</w:t>
            </w:r>
          </w:p>
        </w:tc>
        <w:tc>
          <w:tcPr>
            <w:tcW w:w="8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eastAsia="Calibri" w:hAnsi="Barlow" w:cs="Times New Roman"/>
                <w:color w:val="2F5496"/>
              </w:rPr>
              <w:id w:val="2082632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B967F" w14:textId="77777777" w:rsidR="003F0D71" w:rsidRPr="001B6ADB" w:rsidRDefault="003F0D71" w:rsidP="003F0D71">
                <w:pPr>
                  <w:ind w:left="164"/>
                  <w:jc w:val="center"/>
                  <w:rPr>
                    <w:rFonts w:ascii="Barlow" w:eastAsia="Calibri" w:hAnsi="Barlow" w:cs="Times New Roman"/>
                    <w:color w:val="2F5496"/>
                  </w:rPr>
                </w:pPr>
                <w:r w:rsidRPr="001B6ADB">
                  <w:rPr>
                    <w:rFonts w:ascii="Segoe UI Symbol" w:eastAsia="Calibri" w:hAnsi="Segoe UI Symbol" w:cs="Segoe UI Symbol"/>
                    <w:color w:val="2F5496"/>
                  </w:rPr>
                  <w:t>☐</w:t>
                </w:r>
              </w:p>
            </w:sdtContent>
          </w:sdt>
        </w:tc>
      </w:tr>
      <w:tr w:rsidR="008B6D94" w:rsidRPr="001B6ADB" w14:paraId="0EDCDB32" w14:textId="77777777" w:rsidTr="009C1251">
        <w:trPr>
          <w:trHeight w:val="658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FA29" w14:textId="77777777" w:rsidR="008B6D94" w:rsidRPr="001B6ADB" w:rsidRDefault="008B6D94" w:rsidP="008B6D94">
            <w:pPr>
              <w:spacing w:after="0" w:line="245" w:lineRule="auto"/>
              <w:ind w:left="164"/>
              <w:rPr>
                <w:rFonts w:ascii="Barlow" w:eastAsia="Calibri" w:hAnsi="Barlow" w:cs="Times New Roman"/>
                <w:b/>
                <w:bCs/>
                <w:color w:val="2F5496"/>
              </w:rPr>
            </w:pPr>
            <w:r w:rsidRPr="001B6ADB">
              <w:rPr>
                <w:rFonts w:ascii="Barlow" w:eastAsia="Calibri" w:hAnsi="Barlow" w:cs="Times New Roman"/>
                <w:b/>
                <w:bCs/>
                <w:color w:val="2F5496"/>
              </w:rPr>
              <w:t>Azioni di consolidamento della funzione (livello avanzato)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AC7E" w14:textId="3A1EF231" w:rsidR="008B6D94" w:rsidRPr="001B6ADB" w:rsidRDefault="008B6D94" w:rsidP="008B6D94">
            <w:pPr>
              <w:spacing w:after="0" w:line="245" w:lineRule="auto"/>
              <w:ind w:left="164"/>
              <w:rPr>
                <w:rFonts w:ascii="Barlow" w:eastAsia="Calibri" w:hAnsi="Barlow" w:cs="Times New Roman"/>
                <w:color w:val="2F5496"/>
              </w:rPr>
            </w:pPr>
            <w:r w:rsidRPr="001B6ADB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Strumento di verifica di effettività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DBDE782" w14:textId="503E1FAF" w:rsidR="008B6D94" w:rsidRPr="001B6ADB" w:rsidRDefault="008B6D94" w:rsidP="008B6D94">
            <w:pPr>
              <w:spacing w:after="0" w:line="245" w:lineRule="auto"/>
              <w:ind w:left="164"/>
              <w:rPr>
                <w:rFonts w:ascii="Barlow" w:eastAsia="Calibri" w:hAnsi="Barlow" w:cs="Times New Roman"/>
                <w:color w:val="2F5496"/>
              </w:rPr>
            </w:pPr>
            <w:r w:rsidRPr="001B6ADB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Indicazione estremi e link dell’atto </w:t>
            </w:r>
          </w:p>
        </w:tc>
        <w:tc>
          <w:tcPr>
            <w:tcW w:w="241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66BA" w14:textId="6AD488F6" w:rsidR="008B6D94" w:rsidRPr="001B6ADB" w:rsidRDefault="0045294C" w:rsidP="008B6D94">
            <w:pPr>
              <w:spacing w:after="0" w:line="245" w:lineRule="auto"/>
              <w:ind w:left="164"/>
              <w:rPr>
                <w:rFonts w:ascii="Barlow" w:eastAsia="Calibri" w:hAnsi="Barlow" w:cs="Times New Roman"/>
                <w:color w:val="2F5496"/>
              </w:rPr>
            </w:pPr>
            <w:r w:rsidRPr="001B6ADB">
              <w:rPr>
                <w:rFonts w:ascii="Barlow" w:eastAsia="Calibri" w:hAnsi="Barlow" w:cs="Times New Roman"/>
                <w:color w:val="2F5496"/>
              </w:rPr>
              <w:t>Ogni azione aggiunta equivale a % di punteggio più alta riconosciuta</w:t>
            </w:r>
          </w:p>
        </w:tc>
      </w:tr>
      <w:tr w:rsidR="003F0D71" w:rsidRPr="001B6ADB" w14:paraId="7CC13D2E" w14:textId="77777777" w:rsidTr="009C1251">
        <w:trPr>
          <w:trHeight w:val="567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B6C0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Istituzione di una Piattaforma informatica per la presentazione online delle domande per l’accesso ai servizi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B653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Link piattaforma   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4813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C409" w14:textId="77777777" w:rsidR="003F0D71" w:rsidRPr="001B6ADB" w:rsidRDefault="003F0D71" w:rsidP="003F0D71">
            <w:pPr>
              <w:spacing w:after="0" w:line="245" w:lineRule="auto"/>
              <w:ind w:left="164"/>
              <w:jc w:val="center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eastAsia="Calibri" w:hAnsi="Barlow" w:cs="Times New Roman"/>
                <w:color w:val="2F5496"/>
              </w:rPr>
              <w:id w:val="-1136711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A583E2" w14:textId="77777777" w:rsidR="003F0D71" w:rsidRPr="001B6ADB" w:rsidRDefault="003F0D71" w:rsidP="003F0D71">
                <w:pPr>
                  <w:spacing w:after="0" w:line="245" w:lineRule="auto"/>
                  <w:ind w:left="164"/>
                  <w:jc w:val="center"/>
                  <w:rPr>
                    <w:rFonts w:ascii="Barlow" w:eastAsia="Calibri" w:hAnsi="Barlow" w:cs="Times New Roman"/>
                    <w:color w:val="2F5496"/>
                  </w:rPr>
                </w:pPr>
                <w:r w:rsidRPr="001B6ADB">
                  <w:rPr>
                    <w:rFonts w:ascii="Segoe UI Symbol" w:eastAsia="Calibri" w:hAnsi="Segoe UI Symbol" w:cs="Segoe UI Symbol"/>
                    <w:color w:val="2F5496"/>
                  </w:rPr>
                  <w:t>☐</w:t>
                </w:r>
              </w:p>
            </w:sdtContent>
          </w:sdt>
        </w:tc>
      </w:tr>
      <w:tr w:rsidR="003F0D71" w:rsidRPr="001B6ADB" w14:paraId="0E7780B2" w14:textId="77777777" w:rsidTr="009C1251">
        <w:trPr>
          <w:trHeight w:val="567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03E0" w14:textId="26A64FEA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Approvazione dei regolamenti unici per accesso ed erogazione dei servizi di tutte le attività</w:t>
            </w:r>
            <w:r w:rsidR="001B78A5" w:rsidRPr="001B6ADB">
              <w:rPr>
                <w:rFonts w:ascii="Barlow" w:eastAsia="Calibri" w:hAnsi="Barlow" w:cs="Times New Roman"/>
              </w:rPr>
              <w:t xml:space="preserve"> conferite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6D17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Atto regolamentare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AE20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BFE3" w14:textId="77777777" w:rsidR="003F0D71" w:rsidRPr="001B6ADB" w:rsidRDefault="003F0D71" w:rsidP="003F0D71">
            <w:pPr>
              <w:spacing w:after="0" w:line="245" w:lineRule="auto"/>
              <w:ind w:left="164"/>
              <w:jc w:val="center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8%</w:t>
            </w:r>
          </w:p>
        </w:tc>
        <w:tc>
          <w:tcPr>
            <w:tcW w:w="8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eastAsia="Calibri" w:hAnsi="Barlow" w:cs="Times New Roman"/>
                <w:color w:val="2F5496"/>
              </w:rPr>
              <w:id w:val="745918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9657F" w14:textId="77777777" w:rsidR="003F0D71" w:rsidRPr="001B6ADB" w:rsidRDefault="003F0D71" w:rsidP="003F0D71">
                <w:pPr>
                  <w:spacing w:after="0" w:line="245" w:lineRule="auto"/>
                  <w:ind w:left="164"/>
                  <w:jc w:val="center"/>
                  <w:rPr>
                    <w:rFonts w:ascii="Barlow" w:eastAsia="Calibri" w:hAnsi="Barlow" w:cs="Times New Roman"/>
                    <w:color w:val="2F5496"/>
                  </w:rPr>
                </w:pPr>
                <w:r w:rsidRPr="001B6ADB">
                  <w:rPr>
                    <w:rFonts w:ascii="Segoe UI Symbol" w:eastAsia="Calibri" w:hAnsi="Segoe UI Symbol" w:cs="Segoe UI Symbol"/>
                    <w:color w:val="2F5496"/>
                  </w:rPr>
                  <w:t>☐</w:t>
                </w:r>
              </w:p>
            </w:sdtContent>
          </w:sdt>
        </w:tc>
      </w:tr>
      <w:tr w:rsidR="003F0D71" w:rsidRPr="001B6ADB" w14:paraId="01065CFA" w14:textId="77777777" w:rsidTr="009C1251">
        <w:trPr>
          <w:trHeight w:val="567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F20D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Omogeneizzazione delle tariffe dei servizi educativi e scolastici e dei relativi criteri applicativi in almeno 2 attività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97D7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Approvazione regolamenti e delibere organo competente Unione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F902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9CC5" w14:textId="77777777" w:rsidR="003F0D71" w:rsidRPr="001B6ADB" w:rsidRDefault="003F0D71" w:rsidP="003F0D71">
            <w:pPr>
              <w:spacing w:after="0" w:line="245" w:lineRule="auto"/>
              <w:ind w:left="164"/>
              <w:jc w:val="center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4%</w:t>
            </w:r>
          </w:p>
        </w:tc>
        <w:tc>
          <w:tcPr>
            <w:tcW w:w="8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eastAsia="Calibri" w:hAnsi="Barlow" w:cs="Times New Roman"/>
                <w:color w:val="2F5496"/>
              </w:rPr>
              <w:id w:val="559138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2D947" w14:textId="77777777" w:rsidR="003F0D71" w:rsidRPr="001B6ADB" w:rsidRDefault="003F0D71" w:rsidP="003F0D71">
                <w:pPr>
                  <w:spacing w:after="0" w:line="245" w:lineRule="auto"/>
                  <w:ind w:left="164"/>
                  <w:jc w:val="center"/>
                  <w:rPr>
                    <w:rFonts w:ascii="Barlow" w:eastAsia="Calibri" w:hAnsi="Barlow" w:cs="Times New Roman"/>
                    <w:color w:val="2F5496"/>
                  </w:rPr>
                </w:pPr>
                <w:r w:rsidRPr="001B6ADB">
                  <w:rPr>
                    <w:rFonts w:ascii="Segoe UI Symbol" w:eastAsia="Calibri" w:hAnsi="Segoe UI Symbol" w:cs="Segoe UI Symbol"/>
                    <w:color w:val="2F5496"/>
                  </w:rPr>
                  <w:t>☐</w:t>
                </w:r>
              </w:p>
            </w:sdtContent>
          </w:sdt>
        </w:tc>
      </w:tr>
      <w:tr w:rsidR="003F0D71" w:rsidRPr="001B6ADB" w14:paraId="29FDA2D1" w14:textId="77777777" w:rsidTr="009C1251">
        <w:trPr>
          <w:trHeight w:val="567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90C0" w14:textId="589C4F15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Omogeneizzazione delle tariffe dei servizi educativi e scolastici e dei relativi criteri applicativi per</w:t>
            </w:r>
            <w:r w:rsidR="001B78A5" w:rsidRPr="001B6ADB">
              <w:rPr>
                <w:rFonts w:ascii="Barlow" w:eastAsia="Calibri" w:hAnsi="Barlow" w:cs="Times New Roman"/>
              </w:rPr>
              <w:t xml:space="preserve"> almeno</w:t>
            </w:r>
            <w:r w:rsidRPr="001B6ADB">
              <w:rPr>
                <w:rFonts w:ascii="Barlow" w:eastAsia="Calibri" w:hAnsi="Barlow" w:cs="Times New Roman"/>
              </w:rPr>
              <w:t xml:space="preserve"> altre 4 attività 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FCDB" w14:textId="0E478AB0" w:rsidR="003F0D71" w:rsidRPr="001B6ADB" w:rsidRDefault="00687935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Approvazione regolamenti</w:t>
            </w:r>
            <w:r w:rsidR="003F0D71" w:rsidRPr="001B6ADB">
              <w:rPr>
                <w:rFonts w:ascii="Barlow" w:eastAsia="Calibri" w:hAnsi="Barlow" w:cs="Times New Roman"/>
              </w:rPr>
              <w:t xml:space="preserve"> e </w:t>
            </w:r>
          </w:p>
          <w:p w14:paraId="6EB80829" w14:textId="558FEA0D" w:rsidR="003F0D71" w:rsidRPr="001B6ADB" w:rsidRDefault="003F0D71" w:rsidP="00687935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delibere organo</w:t>
            </w:r>
            <w:r w:rsidR="00687935">
              <w:rPr>
                <w:rFonts w:ascii="Barlow" w:eastAsia="Calibri" w:hAnsi="Barlow" w:cs="Times New Roman"/>
              </w:rPr>
              <w:t xml:space="preserve"> </w:t>
            </w:r>
            <w:r w:rsidRPr="001B6ADB">
              <w:rPr>
                <w:rFonts w:ascii="Barlow" w:eastAsia="Calibri" w:hAnsi="Barlow" w:cs="Times New Roman"/>
              </w:rPr>
              <w:t>competente Unione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089A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D198" w14:textId="77777777" w:rsidR="003F0D71" w:rsidRPr="001B6ADB" w:rsidRDefault="003F0D71" w:rsidP="003F0D71">
            <w:pPr>
              <w:spacing w:after="0" w:line="245" w:lineRule="auto"/>
              <w:ind w:left="164"/>
              <w:jc w:val="center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8%</w:t>
            </w:r>
          </w:p>
        </w:tc>
        <w:tc>
          <w:tcPr>
            <w:tcW w:w="8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eastAsia="Calibri" w:hAnsi="Barlow" w:cs="Times New Roman"/>
                <w:color w:val="2F5496"/>
              </w:rPr>
              <w:id w:val="1641839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158F0" w14:textId="77777777" w:rsidR="003F0D71" w:rsidRPr="001B6ADB" w:rsidRDefault="003F0D71" w:rsidP="003F0D71">
                <w:pPr>
                  <w:spacing w:after="0" w:line="245" w:lineRule="auto"/>
                  <w:ind w:left="164"/>
                  <w:jc w:val="center"/>
                  <w:rPr>
                    <w:rFonts w:ascii="Barlow" w:eastAsia="Calibri" w:hAnsi="Barlow" w:cs="Times New Roman"/>
                    <w:color w:val="2F5496"/>
                  </w:rPr>
                </w:pPr>
                <w:r w:rsidRPr="001B6ADB">
                  <w:rPr>
                    <w:rFonts w:ascii="Segoe UI Symbol" w:eastAsia="Calibri" w:hAnsi="Segoe UI Symbol" w:cs="Segoe UI Symbol"/>
                    <w:color w:val="2F5496"/>
                  </w:rPr>
                  <w:t>☐</w:t>
                </w:r>
              </w:p>
            </w:sdtContent>
          </w:sdt>
        </w:tc>
      </w:tr>
      <w:tr w:rsidR="003F0D71" w:rsidRPr="001B6ADB" w14:paraId="08AE8798" w14:textId="77777777" w:rsidTr="009C1251">
        <w:trPr>
          <w:trHeight w:val="20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E52D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Raccordo funzionale con il Settore Servizi Sociali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9A22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Atti di attuazione   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D954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473B" w14:textId="77777777" w:rsidR="003F0D71" w:rsidRPr="001B6ADB" w:rsidRDefault="003F0D71" w:rsidP="003F0D71">
            <w:pPr>
              <w:spacing w:after="0" w:line="245" w:lineRule="auto"/>
              <w:ind w:left="164"/>
              <w:jc w:val="center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1%</w:t>
            </w:r>
          </w:p>
        </w:tc>
        <w:tc>
          <w:tcPr>
            <w:tcW w:w="8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eastAsia="Calibri" w:hAnsi="Barlow" w:cs="Times New Roman"/>
                <w:color w:val="2F5496"/>
              </w:rPr>
              <w:id w:val="-812873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6B627F" w14:textId="77777777" w:rsidR="003F0D71" w:rsidRPr="001B6ADB" w:rsidRDefault="003F0D71" w:rsidP="003F0D71">
                <w:pPr>
                  <w:spacing w:after="0" w:line="245" w:lineRule="auto"/>
                  <w:ind w:left="164"/>
                  <w:jc w:val="center"/>
                  <w:rPr>
                    <w:rFonts w:ascii="Barlow" w:eastAsia="Calibri" w:hAnsi="Barlow" w:cs="Times New Roman"/>
                    <w:color w:val="2F5496"/>
                  </w:rPr>
                </w:pPr>
                <w:r w:rsidRPr="001B6ADB">
                  <w:rPr>
                    <w:rFonts w:ascii="Segoe UI Symbol" w:eastAsia="Calibri" w:hAnsi="Segoe UI Symbol" w:cs="Segoe UI Symbol"/>
                    <w:color w:val="2F5496"/>
                  </w:rPr>
                  <w:t>☐</w:t>
                </w:r>
              </w:p>
            </w:sdtContent>
          </w:sdt>
        </w:tc>
      </w:tr>
      <w:tr w:rsidR="003F0D71" w:rsidRPr="001B6ADB" w14:paraId="700A9B99" w14:textId="77777777" w:rsidTr="009C1251">
        <w:trPr>
          <w:trHeight w:val="680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8373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Attivazione di almeno 5 delle ulteriori attività di implementazione della gestione associata sopra richiamate (indicare quali)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9338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Atti di attuazione   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86EA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81FE" w14:textId="77777777" w:rsidR="003F0D71" w:rsidRPr="001B6ADB" w:rsidRDefault="003F0D71" w:rsidP="003F0D71">
            <w:pPr>
              <w:spacing w:after="0" w:line="245" w:lineRule="auto"/>
              <w:ind w:left="164"/>
              <w:jc w:val="center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2%</w:t>
            </w:r>
          </w:p>
        </w:tc>
        <w:tc>
          <w:tcPr>
            <w:tcW w:w="8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eastAsia="Calibri" w:hAnsi="Barlow" w:cs="Times New Roman"/>
                <w:color w:val="2F5496"/>
              </w:rPr>
              <w:id w:val="-1693066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C6D5F3" w14:textId="77777777" w:rsidR="003F0D71" w:rsidRPr="001B6ADB" w:rsidRDefault="003F0D71" w:rsidP="003F0D71">
                <w:pPr>
                  <w:spacing w:after="0" w:line="245" w:lineRule="auto"/>
                  <w:ind w:left="164"/>
                  <w:jc w:val="center"/>
                  <w:rPr>
                    <w:rFonts w:ascii="Barlow" w:eastAsia="Calibri" w:hAnsi="Barlow" w:cs="Times New Roman"/>
                    <w:color w:val="2F5496"/>
                  </w:rPr>
                </w:pPr>
                <w:r w:rsidRPr="001B6ADB">
                  <w:rPr>
                    <w:rFonts w:ascii="Segoe UI Symbol" w:eastAsia="Calibri" w:hAnsi="Segoe UI Symbol" w:cs="Segoe UI Symbol"/>
                    <w:color w:val="2F5496"/>
                  </w:rPr>
                  <w:t>☐</w:t>
                </w:r>
              </w:p>
            </w:sdtContent>
          </w:sdt>
        </w:tc>
      </w:tr>
      <w:tr w:rsidR="003F0D71" w:rsidRPr="001B6ADB" w14:paraId="6AF10BED" w14:textId="77777777" w:rsidTr="009C1251">
        <w:trPr>
          <w:trHeight w:val="680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31FE" w14:textId="20523AA0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Monitoraggio del costo dei servizi</w:t>
            </w:r>
            <w:r w:rsidR="00AD47E2" w:rsidRPr="001B6ADB">
              <w:rPr>
                <w:rFonts w:ascii="Barlow" w:eastAsia="Calibri" w:hAnsi="Barlow" w:cs="Times New Roman"/>
              </w:rPr>
              <w:t xml:space="preserve"> (attivare modalità </w:t>
            </w:r>
            <w:r w:rsidR="008F0B33" w:rsidRPr="001B6ADB">
              <w:rPr>
                <w:rFonts w:ascii="Barlow" w:eastAsia="Calibri" w:hAnsi="Barlow" w:cs="Times New Roman"/>
              </w:rPr>
              <w:t>monit</w:t>
            </w:r>
            <w:r w:rsidR="003067E0" w:rsidRPr="001B6ADB">
              <w:rPr>
                <w:rFonts w:ascii="Barlow" w:eastAsia="Calibri" w:hAnsi="Barlow" w:cs="Times New Roman"/>
              </w:rPr>
              <w:t>oraggio propedeutico a valutazione ex post</w:t>
            </w:r>
            <w:r w:rsidR="00D32734" w:rsidRPr="001B6ADB">
              <w:rPr>
                <w:rFonts w:ascii="Barlow" w:eastAsia="Calibri" w:hAnsi="Barlow" w:cs="Times New Roman"/>
              </w:rPr>
              <w:t xml:space="preserve"> del costo dei servizi</w:t>
            </w:r>
            <w:r w:rsidR="003067E0" w:rsidRPr="001B6ADB">
              <w:rPr>
                <w:rFonts w:ascii="Barlow" w:eastAsia="Calibri" w:hAnsi="Barlow" w:cs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CF64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 xml:space="preserve">Report                   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FB4E" w14:textId="77777777" w:rsidR="003F0D71" w:rsidRPr="001B6ADB" w:rsidRDefault="003F0D71" w:rsidP="003F0D71">
            <w:pPr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C039" w14:textId="77777777" w:rsidR="003F0D71" w:rsidRPr="001B6ADB" w:rsidRDefault="003F0D71" w:rsidP="003F0D71">
            <w:pPr>
              <w:spacing w:after="0" w:line="245" w:lineRule="auto"/>
              <w:ind w:left="164"/>
              <w:jc w:val="center"/>
              <w:rPr>
                <w:rFonts w:ascii="Barlow" w:eastAsia="Calibri" w:hAnsi="Barlow" w:cs="Times New Roman"/>
              </w:rPr>
            </w:pPr>
            <w:r w:rsidRPr="001B6ADB">
              <w:rPr>
                <w:rFonts w:ascii="Barlow" w:eastAsia="Calibri" w:hAnsi="Barlow" w:cs="Times New Roman"/>
              </w:rPr>
              <w:t>2%</w:t>
            </w:r>
          </w:p>
        </w:tc>
        <w:tc>
          <w:tcPr>
            <w:tcW w:w="8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eastAsia="Calibri" w:hAnsi="Barlow" w:cs="Times New Roman"/>
                <w:color w:val="2F5496"/>
              </w:rPr>
              <w:id w:val="744067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6DF8DD" w14:textId="77777777" w:rsidR="003F0D71" w:rsidRPr="001B6ADB" w:rsidRDefault="003F0D71" w:rsidP="003F0D71">
                <w:pPr>
                  <w:spacing w:after="0" w:line="245" w:lineRule="auto"/>
                  <w:ind w:left="164"/>
                  <w:jc w:val="center"/>
                  <w:rPr>
                    <w:rFonts w:ascii="Barlow" w:eastAsia="Calibri" w:hAnsi="Barlow" w:cs="Times New Roman"/>
                    <w:color w:val="2F5496"/>
                  </w:rPr>
                </w:pPr>
                <w:r w:rsidRPr="001B6ADB">
                  <w:rPr>
                    <w:rFonts w:ascii="Segoe UI Symbol" w:eastAsia="Calibri" w:hAnsi="Segoe UI Symbol" w:cs="Segoe UI Symbol"/>
                    <w:color w:val="2F5496"/>
                  </w:rPr>
                  <w:t>☐</w:t>
                </w:r>
              </w:p>
            </w:sdtContent>
          </w:sdt>
        </w:tc>
      </w:tr>
      <w:tr w:rsidR="003F0D71" w:rsidRPr="001B6ADB" w14:paraId="2C596047" w14:textId="77777777" w:rsidTr="009C1251">
        <w:trPr>
          <w:trHeight w:val="510"/>
        </w:trPr>
        <w:tc>
          <w:tcPr>
            <w:tcW w:w="5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748A" w14:textId="77777777" w:rsidR="003F0D71" w:rsidRPr="001B6ADB" w:rsidRDefault="003F0D71" w:rsidP="003F0D71">
            <w:pPr>
              <w:spacing w:after="0" w:line="240" w:lineRule="exact"/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AC45" w14:textId="77777777" w:rsidR="003F0D71" w:rsidRPr="001B6ADB" w:rsidRDefault="003F0D71" w:rsidP="003F0D71">
            <w:pPr>
              <w:spacing w:after="0"/>
              <w:ind w:left="164"/>
              <w:rPr>
                <w:rFonts w:ascii="Barlow" w:eastAsia="Calibri" w:hAnsi="Barlow" w:cs="Times New Roman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C09C" w14:textId="36D1287F" w:rsidR="003F0D71" w:rsidRPr="001B6ADB" w:rsidRDefault="008B1396" w:rsidP="003F0D71">
            <w:pPr>
              <w:spacing w:after="0"/>
              <w:ind w:left="164"/>
              <w:jc w:val="center"/>
              <w:rPr>
                <w:rFonts w:ascii="Barlow" w:eastAsia="Calibri" w:hAnsi="Barlow" w:cs="Times New Roman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Totale</w:t>
            </w:r>
            <w:r>
              <w:rPr>
                <w:rFonts w:ascii="Barlow" w:eastAsia="Times New Roman" w:hAnsi="Barlow" w:cs="Segoe UI"/>
                <w:lang w:eastAsia="it-IT"/>
              </w:rPr>
              <w:t xml:space="preserve"> </w:t>
            </w:r>
            <w:r w:rsidRPr="0092626C">
              <w:rPr>
                <w:rFonts w:ascii="Barlow" w:eastAsia="Times New Roman" w:hAnsi="Barlow" w:cs="Segoe UI"/>
                <w:lang w:eastAsia="it-IT"/>
              </w:rPr>
              <w:t>100% punteggio</w:t>
            </w:r>
          </w:p>
        </w:tc>
        <w:tc>
          <w:tcPr>
            <w:tcW w:w="8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0FF0" w14:textId="77777777" w:rsidR="003F0D71" w:rsidRPr="001B6ADB" w:rsidRDefault="003F0D71" w:rsidP="003F0D71">
            <w:pPr>
              <w:ind w:left="164"/>
              <w:jc w:val="center"/>
              <w:rPr>
                <w:rFonts w:ascii="Barlow" w:eastAsia="Calibri" w:hAnsi="Barlow" w:cs="Times New Roman"/>
              </w:rPr>
            </w:pPr>
          </w:p>
        </w:tc>
      </w:tr>
    </w:tbl>
    <w:p w14:paraId="2DC08235" w14:textId="77777777" w:rsidR="00203274" w:rsidRPr="001B6ADB" w:rsidRDefault="00203274">
      <w:pPr>
        <w:rPr>
          <w:rFonts w:ascii="Barlow" w:hAnsi="Barlow"/>
        </w:rPr>
      </w:pPr>
    </w:p>
    <w:sectPr w:rsidR="00203274" w:rsidRPr="001B6ADB" w:rsidSect="00052B9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AE89" w14:textId="77777777" w:rsidR="0024449A" w:rsidRDefault="0024449A" w:rsidP="003F0D71">
      <w:pPr>
        <w:spacing w:after="0" w:line="240" w:lineRule="auto"/>
      </w:pPr>
      <w:r>
        <w:separator/>
      </w:r>
    </w:p>
  </w:endnote>
  <w:endnote w:type="continuationSeparator" w:id="0">
    <w:p w14:paraId="36F7A07C" w14:textId="77777777" w:rsidR="0024449A" w:rsidRDefault="0024449A" w:rsidP="003F0D71">
      <w:pPr>
        <w:spacing w:after="0" w:line="240" w:lineRule="auto"/>
      </w:pPr>
      <w:r>
        <w:continuationSeparator/>
      </w:r>
    </w:p>
  </w:endnote>
  <w:endnote w:type="continuationNotice" w:id="1">
    <w:p w14:paraId="78D97360" w14:textId="77777777" w:rsidR="0024449A" w:rsidRDefault="00244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FC60" w14:textId="77777777" w:rsidR="0024449A" w:rsidRDefault="0024449A" w:rsidP="003F0D71">
      <w:pPr>
        <w:spacing w:after="0" w:line="240" w:lineRule="auto"/>
      </w:pPr>
      <w:r>
        <w:separator/>
      </w:r>
    </w:p>
  </w:footnote>
  <w:footnote w:type="continuationSeparator" w:id="0">
    <w:p w14:paraId="501DCB54" w14:textId="77777777" w:rsidR="0024449A" w:rsidRDefault="0024449A" w:rsidP="003F0D71">
      <w:pPr>
        <w:spacing w:after="0" w:line="240" w:lineRule="auto"/>
      </w:pPr>
      <w:r>
        <w:continuationSeparator/>
      </w:r>
    </w:p>
  </w:footnote>
  <w:footnote w:type="continuationNotice" w:id="1">
    <w:p w14:paraId="143E931D" w14:textId="77777777" w:rsidR="0024449A" w:rsidRDefault="002444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30295"/>
    <w:multiLevelType w:val="hybridMultilevel"/>
    <w:tmpl w:val="F5685EB6"/>
    <w:lvl w:ilvl="0" w:tplc="3D86B33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41190FCF"/>
    <w:multiLevelType w:val="hybridMultilevel"/>
    <w:tmpl w:val="3056C51C"/>
    <w:lvl w:ilvl="0" w:tplc="0410000F">
      <w:start w:val="1"/>
      <w:numFmt w:val="decimal"/>
      <w:lvlText w:val="%1.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 w15:restartNumberingAfterBreak="0">
    <w:nsid w:val="628B407E"/>
    <w:multiLevelType w:val="hybridMultilevel"/>
    <w:tmpl w:val="B5FADEA0"/>
    <w:lvl w:ilvl="0" w:tplc="2A9AB412">
      <w:numFmt w:val="bullet"/>
      <w:lvlText w:val="-"/>
      <w:lvlJc w:val="left"/>
      <w:pPr>
        <w:ind w:left="807" w:hanging="360"/>
      </w:pPr>
      <w:rPr>
        <w:rFonts w:ascii="Barlow" w:eastAsia="Calibri" w:hAnsi="Barl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1494102583">
    <w:abstractNumId w:val="1"/>
  </w:num>
  <w:num w:numId="2" w16cid:durableId="1002973233">
    <w:abstractNumId w:val="2"/>
  </w:num>
  <w:num w:numId="3" w16cid:durableId="57620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19B29B"/>
    <w:rsid w:val="00046C8B"/>
    <w:rsid w:val="00052B90"/>
    <w:rsid w:val="000A1EC7"/>
    <w:rsid w:val="000B6BD0"/>
    <w:rsid w:val="000C4390"/>
    <w:rsid w:val="000C4971"/>
    <w:rsid w:val="001B6ADB"/>
    <w:rsid w:val="001B78A5"/>
    <w:rsid w:val="001C0D92"/>
    <w:rsid w:val="001D3201"/>
    <w:rsid w:val="001E400F"/>
    <w:rsid w:val="001E7341"/>
    <w:rsid w:val="00203274"/>
    <w:rsid w:val="0024449A"/>
    <w:rsid w:val="0024520E"/>
    <w:rsid w:val="00251168"/>
    <w:rsid w:val="00277731"/>
    <w:rsid w:val="002B5E34"/>
    <w:rsid w:val="002D4562"/>
    <w:rsid w:val="003067E0"/>
    <w:rsid w:val="00321413"/>
    <w:rsid w:val="003C3A7F"/>
    <w:rsid w:val="003F0D71"/>
    <w:rsid w:val="00433EBF"/>
    <w:rsid w:val="00437103"/>
    <w:rsid w:val="00440BEF"/>
    <w:rsid w:val="0045294C"/>
    <w:rsid w:val="00464CF4"/>
    <w:rsid w:val="004954A4"/>
    <w:rsid w:val="004A0EA1"/>
    <w:rsid w:val="004D2D5B"/>
    <w:rsid w:val="00525A02"/>
    <w:rsid w:val="005F6D04"/>
    <w:rsid w:val="00687935"/>
    <w:rsid w:val="006B1155"/>
    <w:rsid w:val="00787682"/>
    <w:rsid w:val="007E6042"/>
    <w:rsid w:val="008B1396"/>
    <w:rsid w:val="008B6D94"/>
    <w:rsid w:val="008F0B33"/>
    <w:rsid w:val="0090647B"/>
    <w:rsid w:val="00961056"/>
    <w:rsid w:val="00971F30"/>
    <w:rsid w:val="00984AD4"/>
    <w:rsid w:val="009916E0"/>
    <w:rsid w:val="00991CF4"/>
    <w:rsid w:val="009C1251"/>
    <w:rsid w:val="009E3719"/>
    <w:rsid w:val="009F6573"/>
    <w:rsid w:val="00A31038"/>
    <w:rsid w:val="00A752EB"/>
    <w:rsid w:val="00AD47E2"/>
    <w:rsid w:val="00B33E96"/>
    <w:rsid w:val="00B360BE"/>
    <w:rsid w:val="00B427A7"/>
    <w:rsid w:val="00C07B92"/>
    <w:rsid w:val="00C474AD"/>
    <w:rsid w:val="00C80646"/>
    <w:rsid w:val="00C95567"/>
    <w:rsid w:val="00CC7916"/>
    <w:rsid w:val="00CE30A0"/>
    <w:rsid w:val="00CF591E"/>
    <w:rsid w:val="00D27A70"/>
    <w:rsid w:val="00D32734"/>
    <w:rsid w:val="00DA192D"/>
    <w:rsid w:val="00E0799A"/>
    <w:rsid w:val="00E31C6D"/>
    <w:rsid w:val="00E77EBD"/>
    <w:rsid w:val="00EB7AEA"/>
    <w:rsid w:val="00FC3B1C"/>
    <w:rsid w:val="2719B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B29B"/>
  <w15:chartTrackingRefBased/>
  <w15:docId w15:val="{08586553-0765-4A28-A8AB-0736BE5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unhideWhenUsed/>
    <w:rsid w:val="003F0D7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B11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11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11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11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1155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4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4AD4"/>
  </w:style>
  <w:style w:type="paragraph" w:styleId="Pidipagina">
    <w:name w:val="footer"/>
    <w:basedOn w:val="Normale"/>
    <w:link w:val="PidipaginaCarattere"/>
    <w:uiPriority w:val="99"/>
    <w:semiHidden/>
    <w:unhideWhenUsed/>
    <w:rsid w:val="00984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4AD4"/>
  </w:style>
  <w:style w:type="paragraph" w:styleId="Revisione">
    <w:name w:val="Revision"/>
    <w:hidden/>
    <w:uiPriority w:val="99"/>
    <w:semiHidden/>
    <w:rsid w:val="00AD47E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806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30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gioneer.it/convenzionip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9704a-108b-4170-a031-f324bd9667da" xsi:nil="true"/>
    <lcf76f155ced4ddcb4097134ff3c332f xmlns="815a182e-5811-482c-bfd9-ac006fc98d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0781EEE82C24E886CD249FD9F4EDA" ma:contentTypeVersion="14" ma:contentTypeDescription="Creare un nuovo documento." ma:contentTypeScope="" ma:versionID="bd7492e0d8d31c63a01207eddd1e40d0">
  <xsd:schema xmlns:xsd="http://www.w3.org/2001/XMLSchema" xmlns:xs="http://www.w3.org/2001/XMLSchema" xmlns:p="http://schemas.microsoft.com/office/2006/metadata/properties" xmlns:ns2="815a182e-5811-482c-bfd9-ac006fc98d86" xmlns:ns3="0019704a-108b-4170-a031-f324bd9667da" targetNamespace="http://schemas.microsoft.com/office/2006/metadata/properties" ma:root="true" ma:fieldsID="da6d3cfd141a4a49046fce1d7640ed76" ns2:_="" ns3:_="">
    <xsd:import namespace="815a182e-5811-482c-bfd9-ac006fc98d86"/>
    <xsd:import namespace="0019704a-108b-4170-a031-f324bd96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182e-5811-482c-bfd9-ac006fc9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704a-108b-4170-a031-f324bd9667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14083-6049-4e6f-8a55-12ea2a6fefa0}" ma:internalName="TaxCatchAll" ma:showField="CatchAllData" ma:web="0019704a-108b-4170-a031-f324bd96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3E6B6-3C65-43BB-B4F5-A0EA3BF076C8}">
  <ds:schemaRefs>
    <ds:schemaRef ds:uri="http://schemas.microsoft.com/office/2006/metadata/properties"/>
    <ds:schemaRef ds:uri="http://schemas.microsoft.com/office/infopath/2007/PartnerControls"/>
    <ds:schemaRef ds:uri="0019704a-108b-4170-a031-f324bd9667da"/>
    <ds:schemaRef ds:uri="815a182e-5811-482c-bfd9-ac006fc98d86"/>
  </ds:schemaRefs>
</ds:datastoreItem>
</file>

<file path=customXml/itemProps2.xml><?xml version="1.0" encoding="utf-8"?>
<ds:datastoreItem xmlns:ds="http://schemas.openxmlformats.org/officeDocument/2006/customXml" ds:itemID="{4CC09830-4FA5-4BD5-AEB4-07B114B8A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182e-5811-482c-bfd9-ac006fc98d86"/>
    <ds:schemaRef ds:uri="0019704a-108b-4170-a031-f324bd96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F8792-4B50-4A84-94EF-42A4B306B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Links>
    <vt:vector size="6" baseType="variant">
      <vt:variant>
        <vt:i4>2949229</vt:i4>
      </vt:variant>
      <vt:variant>
        <vt:i4>0</vt:i4>
      </vt:variant>
      <vt:variant>
        <vt:i4>0</vt:i4>
      </vt:variant>
      <vt:variant>
        <vt:i4>5</vt:i4>
      </vt:variant>
      <vt:variant>
        <vt:lpwstr>https://autonomie.regione.emilia-romagna.it/unioni-di-comuni/approfondimenti/programma-di-riordino-territoriale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Brugaletta Giovanni</dc:creator>
  <cp:keywords/>
  <dc:description/>
  <cp:lastModifiedBy>De Giorgi Irene</cp:lastModifiedBy>
  <cp:revision>32</cp:revision>
  <dcterms:created xsi:type="dcterms:W3CDTF">2023-12-04T11:52:00Z</dcterms:created>
  <dcterms:modified xsi:type="dcterms:W3CDTF">2025-05-20T10:11:00Z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0x0101003830781EEE82C24E886CD249FD9F4EDA</vt:lpwstr>
  </property>
  <property fmtid="{D5CDD505-2E9C-101B-9397-08002B2CF9AE}" pid="3" name="MediaServiceImageTags">
    <vt:lpwstr/>
  </property>
</Properties>
</file>